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98" w:rsidRPr="00D27E98" w:rsidRDefault="00D27E98" w:rsidP="00D27E98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D27E98">
        <w:rPr>
          <w:rFonts w:ascii="Arial" w:hAnsi="Arial" w:cs="Arial"/>
          <w:sz w:val="20"/>
          <w:szCs w:val="20"/>
        </w:rPr>
        <w:t>Актуально на 28.11.2024</w:t>
      </w:r>
    </w:p>
    <w:p w:rsidR="00D27E98" w:rsidRPr="00D27E98" w:rsidRDefault="00D27E98" w:rsidP="00D27E98">
      <w:pPr>
        <w:pStyle w:val="ConsPlusTitlePage"/>
        <w:spacing w:before="120"/>
        <w:jc w:val="center"/>
        <w:rPr>
          <w:rFonts w:ascii="Arial" w:hAnsi="Arial" w:cs="Arial"/>
          <w:color w:val="2F5496"/>
          <w:sz w:val="36"/>
          <w:szCs w:val="36"/>
        </w:rPr>
      </w:pPr>
      <w:r w:rsidRPr="00D27E98">
        <w:rPr>
          <w:rFonts w:ascii="Arial" w:hAnsi="Arial" w:cs="Arial"/>
          <w:szCs w:val="20"/>
        </w:rPr>
        <w:br/>
      </w:r>
      <w:bookmarkStart w:id="0" w:name="_GoBack"/>
      <w:r w:rsidRPr="00D27E98">
        <w:rPr>
          <w:rFonts w:ascii="Arial" w:hAnsi="Arial" w:cs="Arial"/>
          <w:b/>
          <w:color w:val="2F5496"/>
          <w:sz w:val="36"/>
          <w:szCs w:val="36"/>
        </w:rPr>
        <w:t>Налоги-2025: главные изменения</w:t>
      </w:r>
      <w:bookmarkEnd w:id="0"/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Пени в 2025 г.</w:t>
      </w:r>
      <w:r w:rsidRPr="00D27E98">
        <w:t>: за первые 30 дней просрочки - 1/300 ставки ЦБ от суммы недоимки, с 31 по 90 день - 1/150 ставки, с 91 дня - 1/300 ставки. Становится постоянным действовавший в 2023 и 2024 гг. порядок, что не начисляют пеню на недоимку, возникшую только из-за непредставления уведомлений или отчетности (ст. 75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ЕНП и ЕНС</w:t>
      </w:r>
      <w:r w:rsidRPr="00D27E98">
        <w:t xml:space="preserve"> - с 01.01.2025 взносы на дополнительное соцобеспечение членов летных экипажей и работников угольной промышленности не входят в состав ЕНП, перечислять их надо отдельными платежками (ст. 58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Квитанцию о получении электронных документов</w:t>
      </w:r>
      <w:r w:rsidRPr="00D27E98">
        <w:t xml:space="preserve"> с 05.02.2025 не надо будет передавать в ИФНС. Датой их получения будет считаться 6 рабочий день с даты направления (ст. 31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Налоговый мониторинг</w:t>
      </w:r>
      <w:r w:rsidRPr="00D27E98">
        <w:t xml:space="preserve"> - снижены критерии для применения с 2025 г. Сумма уплаченных за 2024 г. налогов - 80 млн руб., годовой доход - 800 млн руб., активы - 800 млн руб. (ст. 105.26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НДС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01.01.2025 будет применяться новая форма книги продаж и дополнительного листа - добавлены графы для упрощенцев, начисляющих НДС по ставкам 5% и 7%. Вносятся изменения в порядок заполнения книг покупок и продаж (п. 2 Постановления Правительства от 29.10.2024 N 1448).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01.01.2025 при ввозе товара из ЕАЭС по агентскому договору о реализации товара физлицам ввозной НДС платит агент (ст. 6 Закона от 27.11.2023 N 539-ФЗ, Письмо ФНС от 04.04.2024 N СД-4-3/3936@).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Ставки НДС на ОСН в 2025 г. остаются прежними.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НДФЛ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bookmarkStart w:id="1" w:name="P12"/>
      <w:bookmarkEnd w:id="1"/>
      <w:r w:rsidRPr="00D27E98">
        <w:t>С 01.01.2025 изменится прогрессивная шкала НДФЛ - повышенные ставки будут применять с дохода свыше 2,4 млн руб. Для зарплаты и доходов ИП на ОСН будет пять ставок - 13, 15, 18, 20 и 22%; для доходов от продажи имущества и операций с ценными бумагами, дивидендов, страховых выплат, процентов по вкладам две ставки - 13 и 15%.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Ставки 13% с доходов до 5 млн руб. и 15% свыше 5 млн руб. остаются для зарплат в части районных коэффициентов и надбавок и выплат участникам СВО.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01.01.2025 необлагаемый размер выходного пособия при увольнении определяют исходя из среднего заработка, рассчитанного по правилам для детских пособий (ст. 217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01.01.2025 увеличен вычет на второго ребенка - 2 800 руб., на третьего и последующего - 6 000 руб., а также предельный размер дохода для вычетов на детей - 450 000 руб. (ст. 218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01.01.2025 появится вычет 18 000 руб. за год для сдавших нормы ГТО и прошедших диспансеризацию (ст. 218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01.01.2025 через работодателя можно будет получить вычет на взносы по договорам долгосрочных сбережений с НПФ, удержанные им из зарплаты и перечисленные в фонд в 2025 году, предельная сумма вычета - 400 000 руб. за год. Вычет на взносы, уплаченные в 2024 году, можно получить через ИФНС (ст. 219.2 НК РФ, ч. 3, 7 ст. 3 Закона от 23.03.2024 N 58-ФЗ).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01.01.2025 физлицо, владевшее долей в уставном капитале более 5 лет, не платит НДФЛ при ее продаже, только если является резидентом, а доход от продажи не превышает 50 млн руб. (ст. 217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01.01.2026 работающие родители с двумя и более детьми и среднедушевым доходом ниже 1,5 региональных прожиточных минимумов смогут вернуть НДФЛ. Налог за прошлый год пересчитают по ставке 6%, а разницу вернут. За вычетом надо будет обращаться в СФР (ст. 1 Закона N 179-ФЗ).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Новые формы отчетности-2025:</w:t>
      </w:r>
      <w:r w:rsidRPr="00D27E98">
        <w:t xml:space="preserve"> РСВ, декларации по налогу на прибыль, по НДС для обычных налогоплательщиков и для налогоплательщиков-иностранцев, оказывающих электронные услуги или продающих товары через маркетплейсы. Новые формы деклараций за 2024 г. - налог на имущество, налог при УСН.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lastRenderedPageBreak/>
        <w:t>ЕУД</w:t>
      </w:r>
      <w:r w:rsidRPr="00D27E98">
        <w:t xml:space="preserve"> с 01.01.2025 надо будет сдавать только за первый период, в котором не было движения денег или объектов налогообложения: по НДС - не позднее 20 числа первого месяца следующего квартала, по налогу на прибыль - не позднее 20 апреля (ст. 80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Взносы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Предельная база по взносам на 2025 г. - 2 759 000 руб.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01.01.2025 пониженный тариф 15% для МСП будет применяться для выплат сверх 1,5 МРОТ и появится пониженный тариф 7,6% с выплат сверх 1,5 МРОТ в месяц для МСП с основным видом деятельности "Обрабатывающие производства". Перечень кодов ОКВЭД утвердит Правительство. Основной единый тариф и тарифы взносов на травматизм не меняются (ст. 427 НК РФ, ст. 2 Закона от 29.10.2024 N 362-ФЗ, ст. 1 Закона от 26.10.2024 N 352-ФЗ).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 xml:space="preserve">С 01.01.2025 IT-компании будут применять тариф взносов 7,6% и к выплатам, превышающим предельную базу (пп. "б" п. 28 ст. 1 Законопроекта N 746277-8 </w:t>
      </w:r>
      <w:r w:rsidRPr="00D27E98">
        <w:rPr>
          <w:i/>
        </w:rPr>
        <w:t>(https://sozd.duma.gov.ru/bill/746277-8)</w:t>
      </w:r>
      <w:r w:rsidRPr="00D27E98">
        <w:t>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Фиксированный платеж ИП за себя за 2025 г. - 53 658 руб., срок его уплаты - 29.12.2025 (ст. ст. 430, 432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Максимальные размеры пособий-2025:</w:t>
      </w:r>
      <w:r w:rsidRPr="00D27E98">
        <w:t xml:space="preserve"> по временной нетрудоспособности - 5 673,97 руб. в день ((2 225 000 руб. + 1 917 000 руб.) / 730 </w:t>
      </w:r>
      <w:proofErr w:type="spellStart"/>
      <w:r w:rsidRPr="00D27E98">
        <w:t>дн</w:t>
      </w:r>
      <w:proofErr w:type="spellEnd"/>
      <w:r w:rsidRPr="00D27E98">
        <w:t xml:space="preserve">.), по беременности и родам - 794 355,80 руб. (5 673,97 руб. x 140 </w:t>
      </w:r>
      <w:proofErr w:type="spellStart"/>
      <w:r w:rsidRPr="00D27E98">
        <w:t>дн</w:t>
      </w:r>
      <w:proofErr w:type="spellEnd"/>
      <w:r w:rsidRPr="00D27E98">
        <w:t xml:space="preserve">.), по уходу за ребенком - 68 995,48 руб. в месяц (5 673,97 </w:t>
      </w:r>
      <w:proofErr w:type="spellStart"/>
      <w:r w:rsidRPr="00D27E98">
        <w:t>руб</w:t>
      </w:r>
      <w:proofErr w:type="spellEnd"/>
      <w:r w:rsidRPr="00D27E98">
        <w:t>/</w:t>
      </w:r>
      <w:proofErr w:type="spellStart"/>
      <w:r w:rsidRPr="00D27E98">
        <w:t>дн</w:t>
      </w:r>
      <w:proofErr w:type="spellEnd"/>
      <w:r w:rsidRPr="00D27E98">
        <w:t xml:space="preserve">. x 30,4 </w:t>
      </w:r>
      <w:proofErr w:type="spellStart"/>
      <w:r w:rsidRPr="00D27E98">
        <w:t>дн</w:t>
      </w:r>
      <w:proofErr w:type="spellEnd"/>
      <w:r w:rsidRPr="00D27E98">
        <w:t>. x 40%) (ст. 14 Закона N 255-ФЗ).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Налог на прибыль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2025 г. повышена основная ставка налога до 25%, а для IT-компаний - до 5%. Ставка налога на дивиденды прежняя - 13% (ст. 284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01.01.2025 коэффициент учета в расходах затрат на НИОКР увеличен с 1,5 до 2 (ст. 262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01.01.2025 организации с основным видом деятельности из Перечня могут применять федеральный инвестиционный вычет по капитальным вложениям в некоторые виды ОС и НМА, уменьшающий налог на прибыль в федеральный бюджет. Лимит вычета - 6% капвложений за год, остаток можно перенести на последующие 10 лет. ОС и НМА, по которым был применен вычет, можно амортизировать, уменьшив первоначальную стоимость на вычет (ст. 286.2 НК РФ, ст. 2 Закона от 12.07.2024 N 176-ФЗ).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Налог на имущество</w:t>
      </w:r>
      <w:r w:rsidRPr="00D27E98">
        <w:t xml:space="preserve"> - с 2025 г. для недвижимости с кадастровой стоимостью свыше 300 млн руб. субъекты РФ смогут устанавливать налоговую ставку до 2,5% (ст. 380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Земельный налог</w:t>
      </w:r>
      <w:r w:rsidRPr="00D27E98">
        <w:t xml:space="preserve"> - с 2025 г. для участков с кадастровой стоимостью свыше 300 млн руб. субъекты РФ смогут устанавливать ставку до 1,5% (ст. 394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Транспортный налог</w:t>
      </w:r>
      <w:r w:rsidRPr="00D27E98">
        <w:t xml:space="preserve"> - освобождение от уплаты налога на электромобили в Москве планируют продлить до 01.01.2030 (ст. 4 Закона г. Москвы от 09.07.2008 N 33, ч. 3 ст. 14 Законопроекта </w:t>
      </w:r>
      <w:r w:rsidRPr="00D27E98">
        <w:rPr>
          <w:i/>
        </w:rPr>
        <w:t>(https://duma.mos.ru/ru/40/regulation_projects/corebofs002080000p62iunhjfo1natg)</w:t>
      </w:r>
      <w:r w:rsidRPr="00D27E98">
        <w:t>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УСН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2025 г. максимальный доход для УСН увеличен до 450 млн руб., повышенные ставки отменяются (ст. 346.13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Перейти на УСН с 2025 г. можно, если доходы за 9 месяцев 2024 г. не превысят 337,5 млн руб., средняя численность работников - 130 человек и остаточная стоимость ОС - 200 млн руб. (ст. 346.12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bookmarkStart w:id="2" w:name="P38"/>
      <w:bookmarkEnd w:id="2"/>
      <w:r w:rsidRPr="00D27E98">
        <w:t>Упрощенцы становятся плательщиками НДС, но при доходах до 60 млн руб. автоматически получают освобождение от налога и не составляют счета-фактуры. При доходах от 60 до 250 млн руб. можно платить НДС по ставке 5%, а свыше 250 млн руб. - по ставке 7%, но вычеты при таких ставках применять будет нельзя (ст. ст. 170, 171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АУСН</w:t>
      </w:r>
      <w:r w:rsidRPr="00D27E98">
        <w:t xml:space="preserve"> с 01.01.2025 смогут вводить все регионы (ст. 1 Закона об АУСН).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ПСН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В 2025 г. ПСН применять нельзя, если выручка за 2024 г. превысит 60 млн руб.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С 2025 г. можно будет получить патент при производстве или продаже изделий из серебра (ст. 346.43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В 2025 г. НДС при ПСН платить не надо.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НПД</w:t>
      </w:r>
      <w:r w:rsidRPr="00D27E98">
        <w:t xml:space="preserve"> - с 01.01.2025 при утрате права на НПД можно перейти не только на УСН, но и на АУСН и ПСН (ст. 15 Закона об НПД).</w:t>
      </w:r>
    </w:p>
    <w:p w:rsidR="00D27E98" w:rsidRDefault="00D27E98" w:rsidP="00D27E98">
      <w:pPr>
        <w:pStyle w:val="ConsPlusNormal"/>
        <w:spacing w:before="120"/>
        <w:ind w:firstLine="0"/>
        <w:jc w:val="both"/>
        <w:rPr>
          <w:b/>
        </w:rPr>
      </w:pP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lastRenderedPageBreak/>
        <w:t>Экологический сбор</w:t>
      </w:r>
      <w:r w:rsidRPr="00D27E98">
        <w:t xml:space="preserve"> - с 01.01.2025 повышены базовые ставки и установлены новые коэффициенты к ним.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Туристический налог</w:t>
      </w:r>
      <w:r w:rsidRPr="00D27E98">
        <w:t xml:space="preserve"> с 01.01.2025 может быть введен в любом муниципальном образовании. Налог перечисляют платежкой на ЕНП (гл. 33.1 НК РФ).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Бухучет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ФСБУ 28/2023 "Инвентаризация" обязателен с 01.04.2025.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ФСБУ 4/2023 "Бухгалтерская (финансовая) отчетность" обязателен с отчетности за 2025 г., ее будут составлять по новым формам. Основные изменения: в актив баланса добавили строки "Инвестиционная недвижимость" и "Долгосрочные активы к продаже", из пассива убрали "Доходы будущих периодов"; в ОФР выделили финансовый результат от прекращаемой деятельности.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t>ФСБУ "Доходы", "Расходы", "Некоммерческая деятельность", "Финансовые инструменты", "Долговые затраты" не приняты, это только проекты (Программа разработки стандартов).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bookmarkStart w:id="3" w:name="P51"/>
      <w:bookmarkEnd w:id="3"/>
      <w:r w:rsidRPr="00D27E98">
        <w:rPr>
          <w:b/>
        </w:rPr>
        <w:t>МРОТ</w:t>
      </w:r>
      <w:r w:rsidRPr="00D27E98">
        <w:t xml:space="preserve"> с 01.01.2025 - 22 440 руб.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  <w:r w:rsidRPr="00D27E98">
        <w:rPr>
          <w:b/>
        </w:rPr>
        <w:t>КБК</w:t>
      </w:r>
      <w:r w:rsidRPr="00D27E98">
        <w:t xml:space="preserve"> - будут введены коды для НДФЛ по новым ставкам и туристического налога (Проект приказа Минфина).</w:t>
      </w: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</w:p>
    <w:p w:rsidR="00D27E98" w:rsidRPr="00D27E98" w:rsidRDefault="00D27E98" w:rsidP="00D27E98">
      <w:pPr>
        <w:pStyle w:val="ConsPlusNormal"/>
        <w:spacing w:before="120"/>
        <w:ind w:firstLine="0"/>
        <w:jc w:val="both"/>
      </w:pPr>
    </w:p>
    <w:p w:rsidR="00D27E98" w:rsidRPr="00D27E98" w:rsidRDefault="00D27E98" w:rsidP="00D27E98">
      <w:pPr>
        <w:pStyle w:val="ConsPlusNormal"/>
        <w:pBdr>
          <w:bottom w:val="single" w:sz="6" w:space="0" w:color="auto"/>
        </w:pBdr>
        <w:spacing w:before="120"/>
        <w:ind w:firstLine="0"/>
        <w:jc w:val="both"/>
      </w:pPr>
    </w:p>
    <w:p w:rsidR="00D27E98" w:rsidRPr="00D27E98" w:rsidRDefault="00D27E98" w:rsidP="00D27E98">
      <w:pPr>
        <w:spacing w:before="120"/>
        <w:rPr>
          <w:rFonts w:ascii="Arial" w:hAnsi="Arial" w:cs="Arial"/>
          <w:sz w:val="20"/>
          <w:szCs w:val="20"/>
        </w:rPr>
      </w:pPr>
    </w:p>
    <w:p w:rsidR="00D43F17" w:rsidRPr="00D27E98" w:rsidRDefault="00D43F17" w:rsidP="00D27E98">
      <w:pPr>
        <w:spacing w:before="120"/>
        <w:rPr>
          <w:rFonts w:ascii="Arial" w:hAnsi="Arial" w:cs="Arial"/>
          <w:sz w:val="20"/>
          <w:szCs w:val="20"/>
        </w:rPr>
      </w:pPr>
    </w:p>
    <w:sectPr w:rsidR="00D43F17" w:rsidRPr="00D27E98" w:rsidSect="00D27E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D27E98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D27E98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9" type="#_x0000_t75" style="width:126.7pt;height:30.4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D27E98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D27E98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1" type="#_x0000_t75" style="width:126.7pt;height:30.4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D27E98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0" type="#_x0000_t75" style="width:189.35pt;height:36.9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D27E98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D27E98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8"/>
  </w:num>
  <w:num w:numId="5">
    <w:abstractNumId w:val="29"/>
  </w:num>
  <w:num w:numId="6">
    <w:abstractNumId w:val="17"/>
  </w:num>
  <w:num w:numId="7">
    <w:abstractNumId w:val="16"/>
  </w:num>
  <w:num w:numId="8">
    <w:abstractNumId w:val="4"/>
  </w:num>
  <w:num w:numId="9">
    <w:abstractNumId w:val="21"/>
  </w:num>
  <w:num w:numId="10">
    <w:abstractNumId w:val="2"/>
  </w:num>
  <w:num w:numId="11">
    <w:abstractNumId w:val="31"/>
  </w:num>
  <w:num w:numId="12">
    <w:abstractNumId w:val="0"/>
  </w:num>
  <w:num w:numId="13">
    <w:abstractNumId w:val="32"/>
  </w:num>
  <w:num w:numId="14">
    <w:abstractNumId w:val="28"/>
  </w:num>
  <w:num w:numId="15">
    <w:abstractNumId w:val="12"/>
  </w:num>
  <w:num w:numId="16">
    <w:abstractNumId w:val="1"/>
  </w:num>
  <w:num w:numId="17">
    <w:abstractNumId w:val="20"/>
  </w:num>
  <w:num w:numId="18">
    <w:abstractNumId w:val="25"/>
  </w:num>
  <w:num w:numId="19">
    <w:abstractNumId w:val="9"/>
  </w:num>
  <w:num w:numId="20">
    <w:abstractNumId w:val="24"/>
  </w:num>
  <w:num w:numId="21">
    <w:abstractNumId w:val="6"/>
  </w:num>
  <w:num w:numId="22">
    <w:abstractNumId w:val="19"/>
  </w:num>
  <w:num w:numId="23">
    <w:abstractNumId w:val="11"/>
  </w:num>
  <w:num w:numId="24">
    <w:abstractNumId w:val="30"/>
  </w:num>
  <w:num w:numId="25">
    <w:abstractNumId w:val="22"/>
  </w:num>
  <w:num w:numId="26">
    <w:abstractNumId w:val="26"/>
  </w:num>
  <w:num w:numId="27">
    <w:abstractNumId w:val="18"/>
  </w:num>
  <w:num w:numId="28">
    <w:abstractNumId w:val="14"/>
  </w:num>
  <w:num w:numId="29">
    <w:abstractNumId w:val="5"/>
  </w:num>
  <w:num w:numId="30">
    <w:abstractNumId w:val="7"/>
  </w:num>
  <w:num w:numId="31">
    <w:abstractNumId w:val="15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87580"/>
    <w:rsid w:val="00393E7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27E98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E2C9-42F8-4B9A-B460-59858912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131DA27B</Template>
  <TotalTime>0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2024-11-29T10:11:00Z</dcterms:created>
  <dcterms:modified xsi:type="dcterms:W3CDTF">2024-11-29T10:11:00Z</dcterms:modified>
</cp:coreProperties>
</file>